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F8C8DF">
      <w:pPr>
        <w:jc w:val="center"/>
        <w:rPr>
          <w:rFonts w:ascii="仿宋" w:hAnsi="仿宋" w:eastAsia="仿宋"/>
          <w:b/>
          <w:sz w:val="30"/>
          <w:szCs w:val="30"/>
        </w:rPr>
      </w:pPr>
      <w:r>
        <w:rPr>
          <w:rFonts w:hint="eastAsia" w:ascii="仿宋" w:hAnsi="仿宋" w:eastAsia="仿宋"/>
          <w:b/>
          <w:sz w:val="32"/>
          <w:szCs w:val="32"/>
        </w:rPr>
        <w:t xml:space="preserve"> 华城实验小学新建就餐区</w:t>
      </w:r>
      <w:r>
        <w:rPr>
          <w:rFonts w:hint="eastAsia" w:ascii="仿宋" w:hAnsi="仿宋" w:eastAsia="仿宋"/>
          <w:b/>
          <w:sz w:val="32"/>
          <w:szCs w:val="32"/>
          <w:lang w:eastAsia="zh-CN"/>
        </w:rPr>
        <w:t>加固项目</w:t>
      </w:r>
      <w:r>
        <w:rPr>
          <w:rFonts w:hint="eastAsia" w:ascii="仿宋" w:hAnsi="仿宋" w:eastAsia="仿宋"/>
          <w:b/>
          <w:sz w:val="32"/>
          <w:szCs w:val="32"/>
        </w:rPr>
        <w:t>编制说明</w:t>
      </w:r>
    </w:p>
    <w:p w14:paraId="52A6FB3E">
      <w:pPr>
        <w:spacing w:line="360" w:lineRule="auto"/>
        <w:rPr>
          <w:rFonts w:ascii="仿宋" w:hAnsi="仿宋" w:eastAsia="仿宋"/>
          <w:b/>
          <w:sz w:val="28"/>
          <w:szCs w:val="28"/>
        </w:rPr>
      </w:pPr>
      <w:r>
        <w:rPr>
          <w:rFonts w:hint="eastAsia" w:ascii="仿宋" w:hAnsi="仿宋" w:eastAsia="仿宋"/>
          <w:b/>
          <w:sz w:val="28"/>
          <w:szCs w:val="28"/>
        </w:rPr>
        <w:t>一、工程概况</w:t>
      </w:r>
    </w:p>
    <w:p w14:paraId="21F2748E">
      <w:pPr>
        <w:spacing w:line="360" w:lineRule="auto"/>
        <w:ind w:firstLine="240" w:firstLineChars="100"/>
        <w:rPr>
          <w:rFonts w:ascii="仿宋" w:hAnsi="仿宋" w:eastAsia="仿宋"/>
          <w:sz w:val="24"/>
        </w:rPr>
      </w:pPr>
      <w:r>
        <w:rPr>
          <w:rFonts w:hint="eastAsia" w:ascii="仿宋" w:hAnsi="仿宋" w:eastAsia="仿宋"/>
          <w:sz w:val="24"/>
        </w:rPr>
        <w:t>本工程为华城实验小学新建就餐区</w:t>
      </w:r>
      <w:r>
        <w:rPr>
          <w:rFonts w:hint="eastAsia" w:ascii="仿宋" w:hAnsi="仿宋" w:eastAsia="仿宋"/>
          <w:sz w:val="24"/>
          <w:lang w:eastAsia="zh-CN"/>
        </w:rPr>
        <w:t>加固项目</w:t>
      </w:r>
      <w:r>
        <w:rPr>
          <w:rFonts w:hint="eastAsia" w:ascii="仿宋" w:hAnsi="仿宋" w:eastAsia="仿宋"/>
          <w:sz w:val="24"/>
        </w:rPr>
        <w:t>，建设规模、工程特征、施工现场实际情况、交通运输情况、自然地理条件、环境保护要求等见招标文件，并</w:t>
      </w:r>
      <w:r>
        <w:rPr>
          <w:rFonts w:hint="eastAsia" w:ascii="仿宋" w:hAnsi="仿宋" w:eastAsia="仿宋"/>
          <w:b/>
          <w:sz w:val="24"/>
        </w:rPr>
        <w:t>要求投标单位现场踏勘</w:t>
      </w:r>
      <w:r>
        <w:rPr>
          <w:rFonts w:hint="eastAsia" w:ascii="仿宋" w:hAnsi="仿宋" w:eastAsia="仿宋"/>
          <w:sz w:val="24"/>
        </w:rPr>
        <w:t>。</w:t>
      </w:r>
    </w:p>
    <w:p w14:paraId="486B7C20">
      <w:pPr>
        <w:spacing w:line="360" w:lineRule="auto"/>
        <w:rPr>
          <w:rFonts w:ascii="仿宋" w:hAnsi="仿宋" w:eastAsia="仿宋"/>
          <w:b/>
          <w:sz w:val="28"/>
          <w:szCs w:val="28"/>
        </w:rPr>
      </w:pPr>
      <w:r>
        <w:rPr>
          <w:rFonts w:hint="eastAsia" w:ascii="仿宋" w:hAnsi="仿宋" w:eastAsia="仿宋"/>
          <w:b/>
          <w:sz w:val="28"/>
          <w:szCs w:val="28"/>
        </w:rPr>
        <w:t>二、编制依据</w:t>
      </w:r>
    </w:p>
    <w:p w14:paraId="12889D34">
      <w:pPr>
        <w:numPr>
          <w:ilvl w:val="0"/>
          <w:numId w:val="1"/>
        </w:numPr>
        <w:tabs>
          <w:tab w:val="left" w:pos="360"/>
          <w:tab w:val="clear" w:pos="780"/>
        </w:tabs>
        <w:spacing w:line="360" w:lineRule="auto"/>
        <w:rPr>
          <w:rFonts w:ascii="仿宋" w:hAnsi="仿宋" w:eastAsia="仿宋"/>
          <w:sz w:val="24"/>
        </w:rPr>
      </w:pPr>
      <w:r>
        <w:rPr>
          <w:rFonts w:hint="eastAsia" w:ascii="仿宋" w:hAnsi="仿宋" w:eastAsia="仿宋"/>
          <w:sz w:val="24"/>
        </w:rPr>
        <w:t>根据现场踏勘、测量、相关设计施工规范，编制清单。</w:t>
      </w:r>
      <w:r>
        <w:rPr>
          <w:rFonts w:hint="eastAsia" w:ascii="仿宋" w:hAnsi="仿宋" w:eastAsia="仿宋"/>
          <w:sz w:val="24"/>
          <w:lang w:val="en-US" w:eastAsia="zh-CN"/>
        </w:rPr>
        <w:t xml:space="preserve"> </w:t>
      </w:r>
    </w:p>
    <w:p w14:paraId="6CF9D400">
      <w:pPr>
        <w:numPr>
          <w:ilvl w:val="0"/>
          <w:numId w:val="1"/>
        </w:numPr>
        <w:tabs>
          <w:tab w:val="left" w:pos="360"/>
          <w:tab w:val="clear" w:pos="780"/>
        </w:tabs>
        <w:spacing w:line="360" w:lineRule="auto"/>
        <w:rPr>
          <w:rFonts w:ascii="仿宋" w:hAnsi="仿宋" w:eastAsia="仿宋"/>
          <w:sz w:val="24"/>
        </w:rPr>
      </w:pPr>
      <w:r>
        <w:rPr>
          <w:rFonts w:hint="eastAsia" w:ascii="仿宋" w:hAnsi="仿宋" w:eastAsia="仿宋"/>
          <w:sz w:val="24"/>
          <w:lang w:val="en-US" w:eastAsia="zh-CN"/>
        </w:rPr>
        <w:t>江苏凯联建筑设计有限公司设计的施工图。</w:t>
      </w:r>
    </w:p>
    <w:p w14:paraId="4421B354">
      <w:pPr>
        <w:numPr>
          <w:ilvl w:val="0"/>
          <w:numId w:val="1"/>
        </w:numPr>
        <w:spacing w:line="360" w:lineRule="auto"/>
        <w:rPr>
          <w:rFonts w:ascii="仿宋" w:hAnsi="仿宋" w:eastAsia="仿宋"/>
          <w:sz w:val="24"/>
        </w:rPr>
      </w:pPr>
      <w:r>
        <w:rPr>
          <w:rFonts w:hint="eastAsia" w:ascii="仿宋" w:hAnsi="仿宋" w:eastAsia="仿宋"/>
          <w:sz w:val="24"/>
        </w:rPr>
        <w:t>中华人民共和国建设部《建设工程工程量清单计价规范》（GB50500-2013）。</w:t>
      </w:r>
    </w:p>
    <w:p w14:paraId="046132CA">
      <w:pPr>
        <w:numPr>
          <w:ilvl w:val="0"/>
          <w:numId w:val="1"/>
        </w:numPr>
        <w:spacing w:line="360" w:lineRule="auto"/>
        <w:rPr>
          <w:rFonts w:ascii="仿宋" w:hAnsi="仿宋" w:eastAsia="仿宋"/>
          <w:sz w:val="24"/>
        </w:rPr>
      </w:pPr>
      <w:r>
        <w:rPr>
          <w:rFonts w:hint="eastAsia" w:ascii="仿宋" w:hAnsi="仿宋" w:eastAsia="仿宋"/>
          <w:sz w:val="24"/>
        </w:rPr>
        <w:t>《江苏省建设工程工程量清单计价项目指引》、《2014年江苏省建筑与装饰工程计价表》、《2014年江苏省安装工程计价表》、《江苏省房屋修缮工程计价表》（2009年）；《江苏省房抗震加固工程计价表》（2009 版）；《江苏省建设工程费用定额》（2014年）及营改增后调整内容（依据苏建价【2016】154号文件、常建【2016】94号及苏建函价【2019】178号文）、《省住房城乡建设厅关于调整建设工程按质论价等费用计取方法的公告》（省建设厅公告【2018】第24号文）、省建设厅公告【2019】第19号文等。</w:t>
      </w:r>
    </w:p>
    <w:tbl>
      <w:tblPr>
        <w:tblStyle w:val="5"/>
        <w:tblpPr w:leftFromText="180" w:rightFromText="180" w:vertAnchor="page" w:horzAnchor="page" w:tblpX="1821" w:tblpY="10424"/>
        <w:tblW w:w="806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693"/>
        <w:gridCol w:w="792"/>
        <w:gridCol w:w="660"/>
        <w:gridCol w:w="660"/>
        <w:gridCol w:w="833"/>
        <w:gridCol w:w="792"/>
        <w:gridCol w:w="661"/>
        <w:gridCol w:w="792"/>
        <w:gridCol w:w="792"/>
        <w:gridCol w:w="731"/>
        <w:gridCol w:w="661"/>
      </w:tblGrid>
      <w:tr w14:paraId="514F3C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555" w:hRule="atLeast"/>
        </w:trPr>
        <w:tc>
          <w:tcPr>
            <w:tcW w:w="693" w:type="dxa"/>
            <w:vAlign w:val="center"/>
          </w:tcPr>
          <w:p w14:paraId="2A2A5FE7">
            <w:pPr>
              <w:spacing w:line="240" w:lineRule="atLeast"/>
              <w:jc w:val="center"/>
              <w:rPr>
                <w:rFonts w:ascii="仿宋" w:hAnsi="仿宋" w:eastAsia="仿宋"/>
                <w:bCs/>
                <w:sz w:val="18"/>
                <w:szCs w:val="18"/>
              </w:rPr>
            </w:pPr>
            <w:r>
              <w:rPr>
                <w:rFonts w:hint="eastAsia" w:ascii="仿宋" w:hAnsi="仿宋" w:eastAsia="仿宋"/>
                <w:bCs/>
                <w:sz w:val="18"/>
                <w:szCs w:val="18"/>
              </w:rPr>
              <w:t>工程名称</w:t>
            </w:r>
          </w:p>
        </w:tc>
        <w:tc>
          <w:tcPr>
            <w:tcW w:w="792" w:type="dxa"/>
            <w:vAlign w:val="center"/>
          </w:tcPr>
          <w:p w14:paraId="5E3D6BD7">
            <w:pPr>
              <w:spacing w:line="240" w:lineRule="atLeast"/>
              <w:jc w:val="center"/>
              <w:rPr>
                <w:rFonts w:ascii="仿宋" w:hAnsi="仿宋" w:eastAsia="仿宋"/>
                <w:bCs/>
                <w:sz w:val="18"/>
                <w:szCs w:val="18"/>
              </w:rPr>
            </w:pPr>
            <w:r>
              <w:rPr>
                <w:rFonts w:hint="eastAsia" w:ascii="仿宋" w:hAnsi="仿宋" w:eastAsia="仿宋"/>
                <w:bCs/>
                <w:sz w:val="18"/>
                <w:szCs w:val="18"/>
              </w:rPr>
              <w:t>安全文明施工基本费</w:t>
            </w:r>
          </w:p>
        </w:tc>
        <w:tc>
          <w:tcPr>
            <w:tcW w:w="660" w:type="dxa"/>
            <w:vAlign w:val="center"/>
          </w:tcPr>
          <w:p w14:paraId="46F305A3">
            <w:pPr>
              <w:spacing w:line="240" w:lineRule="atLeast"/>
              <w:jc w:val="center"/>
              <w:rPr>
                <w:rFonts w:ascii="仿宋" w:hAnsi="仿宋" w:eastAsia="仿宋"/>
                <w:bCs/>
                <w:sz w:val="18"/>
                <w:szCs w:val="18"/>
              </w:rPr>
            </w:pPr>
            <w:r>
              <w:rPr>
                <w:rFonts w:hint="eastAsia" w:ascii="仿宋" w:hAnsi="仿宋" w:eastAsia="仿宋"/>
                <w:bCs/>
                <w:sz w:val="18"/>
                <w:szCs w:val="18"/>
              </w:rPr>
              <w:t>扬尘污染防治增加费</w:t>
            </w:r>
          </w:p>
        </w:tc>
        <w:tc>
          <w:tcPr>
            <w:tcW w:w="660" w:type="dxa"/>
            <w:vAlign w:val="center"/>
          </w:tcPr>
          <w:p w14:paraId="67E4344D">
            <w:pPr>
              <w:spacing w:line="240" w:lineRule="atLeast"/>
              <w:jc w:val="center"/>
              <w:rPr>
                <w:rFonts w:ascii="仿宋" w:hAnsi="仿宋" w:eastAsia="仿宋"/>
                <w:bCs/>
                <w:sz w:val="18"/>
                <w:szCs w:val="18"/>
              </w:rPr>
            </w:pPr>
            <w:r>
              <w:rPr>
                <w:rFonts w:hint="eastAsia" w:ascii="仿宋" w:hAnsi="仿宋" w:eastAsia="仿宋"/>
                <w:bCs/>
                <w:sz w:val="18"/>
                <w:szCs w:val="18"/>
              </w:rPr>
              <w:t>夜间施工</w:t>
            </w:r>
          </w:p>
        </w:tc>
        <w:tc>
          <w:tcPr>
            <w:tcW w:w="833" w:type="dxa"/>
            <w:vAlign w:val="center"/>
          </w:tcPr>
          <w:p w14:paraId="740AE622">
            <w:pPr>
              <w:spacing w:line="240" w:lineRule="atLeast"/>
              <w:jc w:val="center"/>
              <w:rPr>
                <w:rFonts w:ascii="仿宋" w:hAnsi="仿宋" w:eastAsia="仿宋"/>
                <w:bCs/>
                <w:sz w:val="18"/>
                <w:szCs w:val="18"/>
              </w:rPr>
            </w:pPr>
            <w:r>
              <w:rPr>
                <w:rFonts w:hint="eastAsia" w:ascii="仿宋" w:hAnsi="仿宋" w:eastAsia="仿宋"/>
                <w:bCs/>
                <w:sz w:val="18"/>
                <w:szCs w:val="18"/>
              </w:rPr>
              <w:t>冬雨季施工</w:t>
            </w:r>
          </w:p>
        </w:tc>
        <w:tc>
          <w:tcPr>
            <w:tcW w:w="792" w:type="dxa"/>
            <w:vAlign w:val="center"/>
          </w:tcPr>
          <w:p w14:paraId="684598F9">
            <w:pPr>
              <w:spacing w:line="240" w:lineRule="atLeast"/>
              <w:jc w:val="center"/>
              <w:rPr>
                <w:rFonts w:ascii="仿宋" w:hAnsi="仿宋" w:eastAsia="仿宋"/>
                <w:bCs/>
                <w:sz w:val="18"/>
                <w:szCs w:val="18"/>
              </w:rPr>
            </w:pPr>
            <w:r>
              <w:rPr>
                <w:rFonts w:hint="eastAsia" w:ascii="仿宋" w:hAnsi="仿宋" w:eastAsia="仿宋"/>
                <w:bCs/>
                <w:sz w:val="18"/>
                <w:szCs w:val="18"/>
              </w:rPr>
              <w:t>已完成工程及设备保护</w:t>
            </w:r>
          </w:p>
        </w:tc>
        <w:tc>
          <w:tcPr>
            <w:tcW w:w="661" w:type="dxa"/>
            <w:vAlign w:val="center"/>
          </w:tcPr>
          <w:p w14:paraId="2E4281F6">
            <w:pPr>
              <w:spacing w:line="240" w:lineRule="atLeast"/>
              <w:jc w:val="center"/>
              <w:rPr>
                <w:rFonts w:ascii="仿宋" w:hAnsi="仿宋" w:eastAsia="仿宋"/>
                <w:bCs/>
                <w:sz w:val="18"/>
                <w:szCs w:val="18"/>
              </w:rPr>
            </w:pPr>
            <w:r>
              <w:rPr>
                <w:rFonts w:hint="eastAsia" w:ascii="仿宋" w:hAnsi="仿宋" w:eastAsia="仿宋"/>
                <w:bCs/>
                <w:sz w:val="18"/>
                <w:szCs w:val="18"/>
              </w:rPr>
              <w:t>临时设施</w:t>
            </w:r>
          </w:p>
        </w:tc>
        <w:tc>
          <w:tcPr>
            <w:tcW w:w="792" w:type="dxa"/>
            <w:vAlign w:val="center"/>
          </w:tcPr>
          <w:p w14:paraId="6376E374">
            <w:pPr>
              <w:spacing w:line="240" w:lineRule="atLeast"/>
              <w:jc w:val="center"/>
              <w:rPr>
                <w:rFonts w:ascii="仿宋" w:hAnsi="仿宋" w:eastAsia="仿宋"/>
                <w:bCs/>
                <w:sz w:val="18"/>
                <w:szCs w:val="18"/>
              </w:rPr>
            </w:pPr>
            <w:r>
              <w:rPr>
                <w:rFonts w:hint="eastAsia" w:ascii="仿宋" w:hAnsi="仿宋" w:eastAsia="仿宋"/>
                <w:bCs/>
                <w:sz w:val="18"/>
                <w:szCs w:val="18"/>
              </w:rPr>
              <w:t>建筑工人实名制费用</w:t>
            </w:r>
          </w:p>
        </w:tc>
        <w:tc>
          <w:tcPr>
            <w:tcW w:w="792" w:type="dxa"/>
            <w:vAlign w:val="center"/>
          </w:tcPr>
          <w:p w14:paraId="02CAE08F">
            <w:pPr>
              <w:spacing w:line="240" w:lineRule="atLeast"/>
              <w:jc w:val="center"/>
              <w:rPr>
                <w:rFonts w:ascii="仿宋" w:hAnsi="仿宋" w:eastAsia="仿宋"/>
                <w:bCs/>
                <w:sz w:val="18"/>
                <w:szCs w:val="18"/>
              </w:rPr>
            </w:pPr>
            <w:r>
              <w:rPr>
                <w:rFonts w:hint="eastAsia" w:ascii="仿宋" w:hAnsi="仿宋" w:eastAsia="仿宋"/>
                <w:bCs/>
                <w:sz w:val="18"/>
                <w:szCs w:val="18"/>
              </w:rPr>
              <w:t>社会保障费</w:t>
            </w:r>
          </w:p>
        </w:tc>
        <w:tc>
          <w:tcPr>
            <w:tcW w:w="731" w:type="dxa"/>
            <w:vAlign w:val="center"/>
          </w:tcPr>
          <w:p w14:paraId="33034907">
            <w:pPr>
              <w:spacing w:line="240" w:lineRule="atLeast"/>
              <w:jc w:val="center"/>
              <w:rPr>
                <w:rFonts w:ascii="仿宋" w:hAnsi="仿宋" w:eastAsia="仿宋"/>
                <w:bCs/>
                <w:sz w:val="18"/>
                <w:szCs w:val="18"/>
              </w:rPr>
            </w:pPr>
            <w:r>
              <w:rPr>
                <w:rFonts w:hint="eastAsia" w:ascii="仿宋" w:hAnsi="仿宋" w:eastAsia="仿宋"/>
                <w:bCs/>
                <w:sz w:val="18"/>
                <w:szCs w:val="18"/>
              </w:rPr>
              <w:t>公积金</w:t>
            </w:r>
          </w:p>
        </w:tc>
        <w:tc>
          <w:tcPr>
            <w:tcW w:w="661" w:type="dxa"/>
            <w:vAlign w:val="center"/>
          </w:tcPr>
          <w:p w14:paraId="02FB6D6C">
            <w:pPr>
              <w:spacing w:line="240" w:lineRule="atLeast"/>
              <w:jc w:val="center"/>
              <w:rPr>
                <w:rFonts w:ascii="仿宋" w:hAnsi="仿宋" w:eastAsia="仿宋"/>
                <w:bCs/>
                <w:sz w:val="18"/>
                <w:szCs w:val="18"/>
              </w:rPr>
            </w:pPr>
            <w:r>
              <w:rPr>
                <w:rFonts w:hint="eastAsia" w:ascii="仿宋" w:hAnsi="仿宋" w:eastAsia="仿宋"/>
                <w:bCs/>
                <w:sz w:val="18"/>
                <w:szCs w:val="18"/>
              </w:rPr>
              <w:t>税金</w:t>
            </w:r>
          </w:p>
        </w:tc>
      </w:tr>
      <w:tr w14:paraId="055F9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693" w:type="dxa"/>
            <w:vAlign w:val="center"/>
          </w:tcPr>
          <w:p w14:paraId="4D659EBD">
            <w:pPr>
              <w:spacing w:line="240" w:lineRule="atLeast"/>
              <w:jc w:val="center"/>
              <w:rPr>
                <w:rFonts w:ascii="仿宋" w:hAnsi="仿宋" w:eastAsia="仿宋"/>
                <w:bCs/>
                <w:sz w:val="18"/>
                <w:szCs w:val="18"/>
              </w:rPr>
            </w:pPr>
            <w:r>
              <w:rPr>
                <w:rFonts w:hint="eastAsia" w:ascii="仿宋" w:hAnsi="仿宋" w:eastAsia="仿宋"/>
                <w:bCs/>
                <w:sz w:val="18"/>
                <w:szCs w:val="18"/>
                <w:lang w:eastAsia="zh-CN"/>
              </w:rPr>
              <w:t>单独加固</w:t>
            </w:r>
            <w:r>
              <w:rPr>
                <w:rFonts w:hint="eastAsia" w:ascii="仿宋" w:hAnsi="仿宋" w:eastAsia="仿宋"/>
                <w:bCs/>
                <w:sz w:val="18"/>
                <w:szCs w:val="18"/>
              </w:rPr>
              <w:t>工程</w:t>
            </w:r>
          </w:p>
        </w:tc>
        <w:tc>
          <w:tcPr>
            <w:tcW w:w="792" w:type="dxa"/>
            <w:vAlign w:val="center"/>
          </w:tcPr>
          <w:p w14:paraId="74EC949D">
            <w:pPr>
              <w:spacing w:line="240" w:lineRule="atLeast"/>
              <w:jc w:val="center"/>
              <w:rPr>
                <w:rFonts w:ascii="仿宋" w:hAnsi="仿宋" w:eastAsia="仿宋"/>
                <w:bCs/>
                <w:szCs w:val="21"/>
              </w:rPr>
            </w:pPr>
            <w:r>
              <w:rPr>
                <w:rFonts w:hint="eastAsia" w:ascii="仿宋" w:hAnsi="仿宋" w:eastAsia="仿宋"/>
                <w:bCs/>
                <w:szCs w:val="21"/>
              </w:rPr>
              <w:t>1.5</w:t>
            </w:r>
          </w:p>
        </w:tc>
        <w:tc>
          <w:tcPr>
            <w:tcW w:w="660" w:type="dxa"/>
            <w:vAlign w:val="center"/>
          </w:tcPr>
          <w:p w14:paraId="597573DB">
            <w:pPr>
              <w:spacing w:line="240" w:lineRule="atLeast"/>
              <w:jc w:val="center"/>
              <w:rPr>
                <w:rFonts w:ascii="仿宋" w:hAnsi="仿宋" w:eastAsia="仿宋"/>
                <w:bCs/>
                <w:szCs w:val="21"/>
              </w:rPr>
            </w:pPr>
            <w:r>
              <w:rPr>
                <w:rFonts w:hint="eastAsia" w:ascii="仿宋" w:hAnsi="仿宋" w:eastAsia="仿宋"/>
                <w:bCs/>
                <w:szCs w:val="21"/>
              </w:rPr>
              <w:t>0.21</w:t>
            </w:r>
          </w:p>
        </w:tc>
        <w:tc>
          <w:tcPr>
            <w:tcW w:w="660" w:type="dxa"/>
            <w:vAlign w:val="center"/>
          </w:tcPr>
          <w:p w14:paraId="657E5D1A">
            <w:pPr>
              <w:spacing w:line="240" w:lineRule="atLeast"/>
              <w:jc w:val="center"/>
              <w:rPr>
                <w:rFonts w:ascii="仿宋" w:hAnsi="仿宋" w:eastAsia="仿宋"/>
                <w:bCs/>
                <w:szCs w:val="21"/>
              </w:rPr>
            </w:pPr>
            <w:r>
              <w:rPr>
                <w:rFonts w:hint="eastAsia" w:ascii="仿宋" w:hAnsi="仿宋" w:eastAsia="仿宋"/>
                <w:bCs/>
                <w:szCs w:val="21"/>
              </w:rPr>
              <w:t>0.08</w:t>
            </w:r>
          </w:p>
        </w:tc>
        <w:tc>
          <w:tcPr>
            <w:tcW w:w="833" w:type="dxa"/>
            <w:vAlign w:val="center"/>
          </w:tcPr>
          <w:p w14:paraId="7873DB32">
            <w:pPr>
              <w:spacing w:line="240" w:lineRule="atLeast"/>
              <w:jc w:val="center"/>
              <w:rPr>
                <w:rFonts w:ascii="仿宋" w:hAnsi="仿宋" w:eastAsia="仿宋"/>
                <w:bCs/>
                <w:szCs w:val="21"/>
              </w:rPr>
            </w:pPr>
            <w:r>
              <w:rPr>
                <w:rFonts w:hint="eastAsia" w:ascii="仿宋" w:hAnsi="仿宋" w:eastAsia="仿宋"/>
                <w:bCs/>
                <w:szCs w:val="21"/>
              </w:rPr>
              <w:t>0.18</w:t>
            </w:r>
          </w:p>
        </w:tc>
        <w:tc>
          <w:tcPr>
            <w:tcW w:w="792" w:type="dxa"/>
            <w:vAlign w:val="center"/>
          </w:tcPr>
          <w:p w14:paraId="30B66096">
            <w:pPr>
              <w:spacing w:line="240" w:lineRule="atLeast"/>
              <w:jc w:val="center"/>
              <w:rPr>
                <w:rFonts w:ascii="仿宋" w:hAnsi="仿宋" w:eastAsia="仿宋"/>
                <w:bCs/>
                <w:szCs w:val="21"/>
              </w:rPr>
            </w:pPr>
            <w:r>
              <w:rPr>
                <w:rFonts w:hint="eastAsia" w:ascii="仿宋" w:hAnsi="仿宋" w:eastAsia="仿宋"/>
                <w:bCs/>
                <w:szCs w:val="21"/>
              </w:rPr>
              <w:t>0.05</w:t>
            </w:r>
          </w:p>
        </w:tc>
        <w:tc>
          <w:tcPr>
            <w:tcW w:w="661" w:type="dxa"/>
            <w:vAlign w:val="center"/>
          </w:tcPr>
          <w:p w14:paraId="1582498A">
            <w:pPr>
              <w:spacing w:line="240" w:lineRule="atLeast"/>
              <w:jc w:val="center"/>
              <w:rPr>
                <w:rFonts w:hint="default" w:ascii="仿宋" w:hAnsi="仿宋" w:eastAsia="仿宋"/>
                <w:bCs/>
                <w:szCs w:val="21"/>
                <w:lang w:val="en-US" w:eastAsia="zh-CN"/>
              </w:rPr>
            </w:pPr>
            <w:r>
              <w:rPr>
                <w:rFonts w:hint="eastAsia" w:ascii="仿宋" w:hAnsi="仿宋" w:eastAsia="仿宋"/>
                <w:bCs/>
                <w:szCs w:val="21"/>
                <w:lang w:val="en-US" w:eastAsia="zh-CN"/>
              </w:rPr>
              <w:t>2</w:t>
            </w:r>
          </w:p>
        </w:tc>
        <w:tc>
          <w:tcPr>
            <w:tcW w:w="792" w:type="dxa"/>
            <w:vAlign w:val="center"/>
          </w:tcPr>
          <w:p w14:paraId="15AB0861">
            <w:pPr>
              <w:spacing w:line="240" w:lineRule="atLeast"/>
              <w:jc w:val="center"/>
              <w:rPr>
                <w:rFonts w:ascii="仿宋" w:hAnsi="仿宋" w:eastAsia="仿宋"/>
                <w:bCs/>
                <w:szCs w:val="21"/>
              </w:rPr>
            </w:pPr>
            <w:r>
              <w:rPr>
                <w:rFonts w:hint="eastAsia" w:ascii="仿宋" w:hAnsi="仿宋" w:eastAsia="仿宋"/>
                <w:bCs/>
                <w:szCs w:val="21"/>
              </w:rPr>
              <w:t>0.05</w:t>
            </w:r>
          </w:p>
        </w:tc>
        <w:tc>
          <w:tcPr>
            <w:tcW w:w="792" w:type="dxa"/>
            <w:vAlign w:val="center"/>
          </w:tcPr>
          <w:p w14:paraId="6228C281">
            <w:pPr>
              <w:spacing w:line="240" w:lineRule="atLeast"/>
              <w:jc w:val="center"/>
              <w:rPr>
                <w:rFonts w:hint="eastAsia" w:ascii="仿宋" w:hAnsi="仿宋" w:eastAsia="仿宋"/>
                <w:bCs/>
                <w:szCs w:val="21"/>
                <w:lang w:val="en-US" w:eastAsia="zh-CN"/>
              </w:rPr>
            </w:pPr>
            <w:r>
              <w:rPr>
                <w:rFonts w:hint="eastAsia" w:ascii="仿宋" w:hAnsi="仿宋" w:eastAsia="仿宋"/>
                <w:bCs/>
                <w:szCs w:val="21"/>
              </w:rPr>
              <w:t>3.</w:t>
            </w:r>
            <w:r>
              <w:rPr>
                <w:rFonts w:hint="eastAsia" w:ascii="仿宋" w:hAnsi="仿宋" w:eastAsia="仿宋"/>
                <w:bCs/>
                <w:szCs w:val="21"/>
                <w:lang w:val="en-US" w:eastAsia="zh-CN"/>
              </w:rPr>
              <w:t>4</w:t>
            </w:r>
          </w:p>
        </w:tc>
        <w:tc>
          <w:tcPr>
            <w:tcW w:w="731" w:type="dxa"/>
            <w:vAlign w:val="center"/>
          </w:tcPr>
          <w:p w14:paraId="3E419DB4">
            <w:pPr>
              <w:spacing w:line="240" w:lineRule="atLeast"/>
              <w:jc w:val="center"/>
              <w:rPr>
                <w:rFonts w:hint="eastAsia" w:ascii="仿宋" w:hAnsi="仿宋" w:eastAsia="仿宋"/>
                <w:bCs/>
                <w:szCs w:val="21"/>
                <w:lang w:val="en-US" w:eastAsia="zh-CN"/>
              </w:rPr>
            </w:pPr>
            <w:r>
              <w:rPr>
                <w:rFonts w:hint="eastAsia" w:ascii="仿宋" w:hAnsi="仿宋" w:eastAsia="仿宋"/>
                <w:bCs/>
                <w:szCs w:val="21"/>
              </w:rPr>
              <w:t>0.6</w:t>
            </w:r>
            <w:r>
              <w:rPr>
                <w:rFonts w:hint="eastAsia" w:ascii="仿宋" w:hAnsi="仿宋" w:eastAsia="仿宋"/>
                <w:bCs/>
                <w:szCs w:val="21"/>
                <w:lang w:val="en-US" w:eastAsia="zh-CN"/>
              </w:rPr>
              <w:t>1</w:t>
            </w:r>
          </w:p>
        </w:tc>
        <w:tc>
          <w:tcPr>
            <w:tcW w:w="661" w:type="dxa"/>
            <w:vAlign w:val="center"/>
          </w:tcPr>
          <w:p w14:paraId="3EF21D63">
            <w:pPr>
              <w:spacing w:line="240" w:lineRule="atLeast"/>
              <w:jc w:val="center"/>
              <w:rPr>
                <w:rFonts w:ascii="仿宋" w:hAnsi="仿宋" w:eastAsia="仿宋"/>
                <w:bCs/>
                <w:szCs w:val="21"/>
              </w:rPr>
            </w:pPr>
            <w:r>
              <w:rPr>
                <w:rFonts w:hint="eastAsia" w:ascii="仿宋" w:hAnsi="仿宋" w:eastAsia="仿宋"/>
                <w:bCs/>
                <w:szCs w:val="21"/>
              </w:rPr>
              <w:t>9</w:t>
            </w:r>
          </w:p>
        </w:tc>
      </w:tr>
    </w:tbl>
    <w:p w14:paraId="4D440BB4">
      <w:pPr>
        <w:pStyle w:val="9"/>
        <w:numPr>
          <w:ilvl w:val="0"/>
          <w:numId w:val="1"/>
        </w:numPr>
        <w:spacing w:line="360" w:lineRule="auto"/>
        <w:ind w:firstLineChars="0"/>
        <w:rPr>
          <w:rFonts w:ascii="仿宋" w:hAnsi="仿宋" w:eastAsia="仿宋"/>
          <w:bCs/>
          <w:sz w:val="24"/>
        </w:rPr>
      </w:pPr>
      <w:r>
        <w:rPr>
          <w:rFonts w:hint="eastAsia" w:ascii="仿宋" w:hAnsi="仿宋" w:eastAsia="仿宋"/>
          <w:bCs/>
          <w:sz w:val="24"/>
        </w:rPr>
        <w:t>本项目工程各单位工程总价措施、规费及税金取费如下表：</w:t>
      </w:r>
    </w:p>
    <w:p w14:paraId="4C61CF81">
      <w:pPr>
        <w:numPr>
          <w:ilvl w:val="0"/>
          <w:numId w:val="1"/>
        </w:numPr>
        <w:spacing w:line="360" w:lineRule="auto"/>
        <w:rPr>
          <w:rFonts w:ascii="仿宋" w:hAnsi="仿宋" w:eastAsia="仿宋"/>
          <w:sz w:val="24"/>
        </w:rPr>
      </w:pPr>
      <w:r>
        <w:rPr>
          <w:rFonts w:hint="eastAsia" w:ascii="仿宋" w:hAnsi="仿宋" w:eastAsia="仿宋"/>
          <w:sz w:val="24"/>
        </w:rPr>
        <w:t>材料价格</w:t>
      </w:r>
      <w:r>
        <w:rPr>
          <w:rFonts w:hint="eastAsia" w:ascii="仿宋" w:hAnsi="仿宋" w:eastAsia="仿宋" w:cs="宋体"/>
          <w:kern w:val="0"/>
          <w:sz w:val="24"/>
        </w:rPr>
        <w:t>：按202</w:t>
      </w:r>
      <w:r>
        <w:rPr>
          <w:rFonts w:hint="eastAsia" w:ascii="仿宋" w:hAnsi="仿宋" w:eastAsia="仿宋" w:cs="宋体"/>
          <w:kern w:val="0"/>
          <w:sz w:val="24"/>
          <w:lang w:val="en-US" w:eastAsia="zh-CN"/>
        </w:rPr>
        <w:t>5</w:t>
      </w:r>
      <w:r>
        <w:rPr>
          <w:rFonts w:hint="eastAsia" w:ascii="仿宋" w:hAnsi="仿宋" w:eastAsia="仿宋" w:cs="宋体"/>
          <w:kern w:val="0"/>
          <w:sz w:val="24"/>
        </w:rPr>
        <w:t>年</w:t>
      </w:r>
      <w:r>
        <w:rPr>
          <w:rFonts w:hint="eastAsia" w:ascii="仿宋" w:hAnsi="仿宋" w:eastAsia="仿宋" w:cs="宋体"/>
          <w:kern w:val="0"/>
          <w:sz w:val="24"/>
          <w:lang w:val="en-US" w:eastAsia="zh-CN"/>
        </w:rPr>
        <w:t>6</w:t>
      </w:r>
      <w:r>
        <w:rPr>
          <w:rFonts w:hint="eastAsia" w:ascii="仿宋" w:hAnsi="仿宋" w:eastAsia="仿宋" w:cs="宋体"/>
          <w:kern w:val="0"/>
          <w:sz w:val="24"/>
        </w:rPr>
        <w:t>月份常州工程造价信息指导价及市场询价计入（以上均为除税价）。</w:t>
      </w:r>
    </w:p>
    <w:p w14:paraId="2D1607B5">
      <w:pPr>
        <w:numPr>
          <w:ilvl w:val="0"/>
          <w:numId w:val="1"/>
        </w:numPr>
        <w:spacing w:line="360" w:lineRule="auto"/>
        <w:rPr>
          <w:rFonts w:ascii="仿宋" w:hAnsi="仿宋" w:eastAsia="仿宋" w:cs="宋体"/>
          <w:kern w:val="0"/>
          <w:sz w:val="24"/>
        </w:rPr>
      </w:pPr>
      <w:r>
        <w:rPr>
          <w:rFonts w:hint="eastAsia" w:ascii="仿宋" w:hAnsi="仿宋" w:eastAsia="仿宋" w:cs="宋体"/>
          <w:kern w:val="0"/>
          <w:sz w:val="24"/>
        </w:rPr>
        <w:t>本工程人工费按苏建函价[202</w:t>
      </w:r>
      <w:r>
        <w:rPr>
          <w:rFonts w:hint="eastAsia" w:ascii="仿宋" w:hAnsi="仿宋" w:eastAsia="仿宋" w:cs="宋体"/>
          <w:kern w:val="0"/>
          <w:sz w:val="24"/>
          <w:lang w:val="en-US" w:eastAsia="zh-CN"/>
        </w:rPr>
        <w:t>5</w:t>
      </w:r>
      <w:r>
        <w:rPr>
          <w:rFonts w:hint="eastAsia" w:ascii="仿宋" w:hAnsi="仿宋" w:eastAsia="仿宋" w:cs="宋体"/>
          <w:kern w:val="0"/>
          <w:sz w:val="24"/>
        </w:rPr>
        <w:t>]6</w:t>
      </w:r>
      <w:r>
        <w:rPr>
          <w:rFonts w:hint="eastAsia" w:ascii="仿宋" w:hAnsi="仿宋" w:eastAsia="仿宋" w:cs="宋体"/>
          <w:kern w:val="0"/>
          <w:sz w:val="24"/>
          <w:lang w:val="en-US" w:eastAsia="zh-CN"/>
        </w:rPr>
        <w:t>6</w:t>
      </w:r>
      <w:r>
        <w:rPr>
          <w:rFonts w:hint="eastAsia" w:ascii="仿宋" w:hAnsi="仿宋" w:eastAsia="仿宋" w:cs="宋体"/>
          <w:kern w:val="0"/>
          <w:sz w:val="24"/>
        </w:rPr>
        <w:t>号文执行。</w:t>
      </w:r>
    </w:p>
    <w:p w14:paraId="4D5576A8">
      <w:pPr>
        <w:numPr>
          <w:ilvl w:val="0"/>
          <w:numId w:val="1"/>
        </w:numPr>
        <w:spacing w:line="360" w:lineRule="auto"/>
        <w:rPr>
          <w:rFonts w:ascii="仿宋" w:hAnsi="仿宋" w:eastAsia="仿宋"/>
          <w:sz w:val="24"/>
        </w:rPr>
      </w:pPr>
      <w:r>
        <w:rPr>
          <w:rFonts w:hint="eastAsia" w:ascii="仿宋" w:hAnsi="仿宋" w:eastAsia="仿宋" w:cs="宋体"/>
          <w:kern w:val="0"/>
          <w:sz w:val="24"/>
        </w:rPr>
        <w:t>由于维修项目零星、场地散，现场情况复杂，成品保护要求高，材料、垃圾受场地的限制,必须要求:运输运输通道铺保护板、材料及垃圾人工挑台</w:t>
      </w:r>
      <w:r>
        <w:rPr>
          <w:rFonts w:hint="eastAsia" w:ascii="仿宋" w:hAnsi="仿宋" w:eastAsia="仿宋"/>
          <w:sz w:val="24"/>
        </w:rPr>
        <w:t>、</w:t>
      </w:r>
      <w:r>
        <w:rPr>
          <w:rFonts w:hint="eastAsia" w:ascii="仿宋" w:hAnsi="仿宋" w:eastAsia="仿宋" w:cs="宋体"/>
          <w:kern w:val="0"/>
          <w:sz w:val="24"/>
        </w:rPr>
        <w:t>人力车二次搬运，涂料作业不允许交叉污染，工完场清；因此二次搬运费、成品保护费、垂直运输费、脚手架等措施费用包干，不另行签证，价格不调整。</w:t>
      </w:r>
    </w:p>
    <w:p w14:paraId="563FE429">
      <w:pPr>
        <w:numPr>
          <w:ilvl w:val="0"/>
          <w:numId w:val="1"/>
        </w:numPr>
        <w:spacing w:line="360" w:lineRule="auto"/>
      </w:pPr>
      <w:r>
        <w:rPr>
          <w:rFonts w:hint="eastAsia" w:ascii="仿宋" w:hAnsi="仿宋" w:eastAsia="仿宋" w:cs="宋体"/>
          <w:kern w:val="0"/>
          <w:sz w:val="24"/>
        </w:rPr>
        <w:t>施工期间如损坏、污染其原校园设备、场地等设施必须按原样复原，不另行签证，价格不调整。</w:t>
      </w:r>
      <w:r>
        <w:rPr>
          <w:rFonts w:hint="eastAsia" w:ascii="仿宋" w:hAnsi="仿宋" w:eastAsia="仿宋" w:cs="宋体"/>
          <w:kern w:val="0"/>
          <w:sz w:val="24"/>
          <w:lang w:val="en-US" w:eastAsia="zh-CN"/>
        </w:rPr>
        <w:t xml:space="preserve"> </w:t>
      </w:r>
    </w:p>
    <w:p w14:paraId="3C7DE87A">
      <w:pPr>
        <w:numPr>
          <w:ilvl w:val="0"/>
          <w:numId w:val="1"/>
        </w:numPr>
        <w:spacing w:line="360" w:lineRule="auto"/>
        <w:rPr>
          <w:rFonts w:hint="eastAsia" w:ascii="仿宋" w:hAnsi="仿宋" w:eastAsia="仿宋" w:cs="宋体"/>
          <w:kern w:val="0"/>
          <w:sz w:val="24"/>
        </w:rPr>
      </w:pPr>
      <w:r>
        <w:rPr>
          <w:rFonts w:hint="eastAsia" w:ascii="仿宋" w:hAnsi="仿宋" w:eastAsia="仿宋" w:cs="宋体"/>
          <w:kern w:val="0"/>
          <w:sz w:val="24"/>
        </w:rPr>
        <w:t>需要考虑加固期间可能发生的材料二次驳运, 相关费用由承包人自行承担</w:t>
      </w:r>
      <w:r>
        <w:rPr>
          <w:rFonts w:hint="eastAsia" w:ascii="仿宋" w:hAnsi="仿宋" w:eastAsia="仿宋" w:cs="宋体"/>
          <w:kern w:val="0"/>
          <w:sz w:val="24"/>
          <w:lang w:eastAsia="zh-CN"/>
        </w:rPr>
        <w:t>。</w:t>
      </w:r>
      <w:r>
        <w:rPr>
          <w:rFonts w:hint="eastAsia" w:ascii="仿宋" w:hAnsi="仿宋" w:eastAsia="仿宋" w:cs="宋体"/>
          <w:kern w:val="0"/>
          <w:sz w:val="24"/>
          <w:lang w:val="en-US" w:eastAsia="zh-CN"/>
        </w:rPr>
        <w:t xml:space="preserve"> </w:t>
      </w:r>
    </w:p>
    <w:p w14:paraId="1D81CACB">
      <w:pPr>
        <w:numPr>
          <w:ilvl w:val="0"/>
          <w:numId w:val="1"/>
        </w:numPr>
        <w:spacing w:line="360" w:lineRule="auto"/>
        <w:rPr>
          <w:rFonts w:hint="eastAsia" w:ascii="仿宋" w:hAnsi="仿宋" w:eastAsia="仿宋" w:cs="宋体"/>
          <w:kern w:val="0"/>
          <w:sz w:val="24"/>
        </w:rPr>
      </w:pPr>
      <w:r>
        <w:rPr>
          <w:rFonts w:hint="eastAsia" w:ascii="仿宋" w:hAnsi="仿宋" w:eastAsia="仿宋" w:cs="宋体"/>
          <w:kern w:val="0"/>
          <w:sz w:val="24"/>
        </w:rPr>
        <w:t>成品保护：加固项目除正常施工成品的保护外，还应做好不改造、原保留现状部分的成品保护，包括拆除阶段、施工阶段、调试移交阶段，费用已包含在措施费中；如发生损坏等情况，由承包人自行承担相应维修费用并符合招标人要求。</w:t>
      </w:r>
    </w:p>
    <w:p w14:paraId="0D81E457">
      <w:pPr>
        <w:numPr>
          <w:ilvl w:val="0"/>
          <w:numId w:val="1"/>
        </w:numPr>
        <w:spacing w:line="360" w:lineRule="auto"/>
        <w:rPr>
          <w:rFonts w:ascii="仿宋" w:hAnsi="仿宋" w:eastAsia="仿宋"/>
          <w:sz w:val="24"/>
        </w:rPr>
      </w:pPr>
      <w:r>
        <w:rPr>
          <w:rFonts w:hint="eastAsia" w:ascii="仿宋" w:hAnsi="仿宋" w:eastAsia="仿宋" w:cs="宋体"/>
          <w:kern w:val="0"/>
          <w:sz w:val="24"/>
        </w:rPr>
        <w:t>各工种、各专业之间无条件配合，不计取任何配合费。</w:t>
      </w:r>
    </w:p>
    <w:p w14:paraId="69A44981">
      <w:pPr>
        <w:numPr>
          <w:ilvl w:val="0"/>
          <w:numId w:val="1"/>
        </w:numPr>
        <w:spacing w:line="360" w:lineRule="auto"/>
        <w:rPr>
          <w:rFonts w:ascii="仿宋" w:hAnsi="仿宋" w:eastAsia="仿宋"/>
          <w:sz w:val="24"/>
          <w:highlight w:val="none"/>
        </w:rPr>
      </w:pPr>
      <w:r>
        <w:rPr>
          <w:rFonts w:hint="eastAsia" w:ascii="仿宋" w:hAnsi="仿宋" w:eastAsia="仿宋" w:cs="宋体"/>
          <w:kern w:val="0"/>
          <w:sz w:val="24"/>
        </w:rPr>
        <w:t>水电费甲供，甲方提供驳接点，临时用电水线缆、控制箱管材等自行考</w:t>
      </w:r>
      <w:r>
        <w:rPr>
          <w:rFonts w:hint="eastAsia" w:ascii="仿宋" w:hAnsi="仿宋" w:eastAsia="仿宋" w:cs="宋体"/>
          <w:kern w:val="0"/>
          <w:sz w:val="24"/>
          <w:highlight w:val="none"/>
        </w:rPr>
        <w:t>虑，满足安全文明施工要求，完工后恢复原状。</w:t>
      </w:r>
    </w:p>
    <w:p w14:paraId="3E91D9FB">
      <w:pPr>
        <w:numPr>
          <w:ilvl w:val="0"/>
          <w:numId w:val="1"/>
        </w:numPr>
        <w:spacing w:line="360" w:lineRule="auto"/>
        <w:rPr>
          <w:rFonts w:ascii="仿宋" w:hAnsi="仿宋" w:eastAsia="仿宋"/>
          <w:sz w:val="24"/>
          <w:highlight w:val="none"/>
        </w:rPr>
      </w:pPr>
      <w:r>
        <w:rPr>
          <w:rFonts w:hint="eastAsia" w:ascii="仿宋" w:hAnsi="仿宋" w:eastAsia="仿宋"/>
          <w:sz w:val="24"/>
          <w:highlight w:val="none"/>
        </w:rPr>
        <w:t>所有垃圾清理外运：清理、拆除的垃圾外运及垃圾处理费，由投标单位考虑到报价中，</w:t>
      </w:r>
      <w:r>
        <w:rPr>
          <w:rFonts w:hint="eastAsia" w:ascii="仿宋" w:eastAsia="仿宋"/>
          <w:sz w:val="24"/>
          <w:highlight w:val="none"/>
        </w:rPr>
        <w:t>垃圾处理要求按照“</w:t>
      </w:r>
      <w:r>
        <w:rPr>
          <w:rFonts w:hint="eastAsia" w:ascii="仿宋" w:eastAsia="仿宋"/>
          <w:b/>
          <w:sz w:val="24"/>
          <w:highlight w:val="none"/>
        </w:rPr>
        <w:t>常城管（2019）31号”</w:t>
      </w:r>
      <w:r>
        <w:rPr>
          <w:rFonts w:hint="eastAsia" w:ascii="仿宋" w:eastAsia="仿宋"/>
          <w:sz w:val="24"/>
          <w:highlight w:val="none"/>
        </w:rPr>
        <w:t>文件执行</w:t>
      </w:r>
      <w:r>
        <w:rPr>
          <w:rFonts w:hint="eastAsia" w:ascii="仿宋" w:hAnsi="仿宋" w:eastAsia="仿宋"/>
          <w:sz w:val="24"/>
          <w:highlight w:val="none"/>
        </w:rPr>
        <w:t>，该项费用包干。</w:t>
      </w:r>
    </w:p>
    <w:p w14:paraId="0BC27481">
      <w:pPr>
        <w:numPr>
          <w:ilvl w:val="0"/>
          <w:numId w:val="1"/>
        </w:numPr>
        <w:spacing w:line="360" w:lineRule="auto"/>
        <w:rPr>
          <w:rFonts w:ascii="仿宋" w:hAnsi="仿宋" w:eastAsia="仿宋"/>
          <w:sz w:val="24"/>
        </w:rPr>
      </w:pPr>
      <w:r>
        <w:rPr>
          <w:rFonts w:hint="eastAsia" w:ascii="仿宋" w:hAnsi="仿宋" w:eastAsia="仿宋"/>
          <w:sz w:val="24"/>
        </w:rPr>
        <w:t>保修期内验收发现涂料剥皮，脱落、瓷砖开裂、空鼓，均有施工方无偿返工维修。</w:t>
      </w:r>
    </w:p>
    <w:p w14:paraId="043A2C45">
      <w:pPr>
        <w:numPr>
          <w:ilvl w:val="0"/>
          <w:numId w:val="1"/>
        </w:numPr>
        <w:spacing w:line="360" w:lineRule="auto"/>
        <w:rPr>
          <w:rFonts w:ascii="仿宋" w:hAnsi="仿宋" w:eastAsia="仿宋"/>
          <w:sz w:val="24"/>
        </w:rPr>
      </w:pPr>
      <w:r>
        <w:rPr>
          <w:rFonts w:hint="eastAsia" w:ascii="仿宋" w:hAnsi="仿宋" w:eastAsia="仿宋"/>
          <w:sz w:val="24"/>
        </w:rPr>
        <w:t>所有涂料、乳胶漆、胶水、腻子均要求一次性进场，施工期间只允许进不允许出。主要主材（包括内墙乳胶漆、胶水）提供有效期内的环保检测合格证;施工过程中注意成品保护，用彩条布或塑料薄膜覆盖。</w:t>
      </w:r>
    </w:p>
    <w:p w14:paraId="63DA77BC">
      <w:pPr>
        <w:numPr>
          <w:ilvl w:val="0"/>
          <w:numId w:val="1"/>
        </w:numPr>
        <w:spacing w:line="360" w:lineRule="auto"/>
        <w:rPr>
          <w:rFonts w:ascii="仿宋" w:hAnsi="仿宋" w:eastAsia="仿宋"/>
          <w:color w:val="000000" w:themeColor="text1"/>
          <w:sz w:val="24"/>
        </w:rPr>
      </w:pPr>
      <w:r>
        <w:rPr>
          <w:rFonts w:hint="eastAsia" w:ascii="仿宋" w:hAnsi="仿宋" w:eastAsia="仿宋"/>
          <w:sz w:val="24"/>
        </w:rPr>
        <w:t>墙面、天棚、地面、台面、门窗、扶手、灯具、空调、桌椅、柜面等清理干净交付；所有项目的报价均为按规范、要求完成该项目所有工序、工完</w:t>
      </w:r>
      <w:r>
        <w:rPr>
          <w:rFonts w:hint="eastAsia" w:ascii="仿宋" w:hAnsi="仿宋" w:eastAsia="仿宋"/>
          <w:color w:val="000000" w:themeColor="text1"/>
          <w:sz w:val="24"/>
        </w:rPr>
        <w:t>场清且经验收合格后的价格 。</w:t>
      </w:r>
    </w:p>
    <w:p w14:paraId="031CF314">
      <w:pPr>
        <w:numPr>
          <w:ilvl w:val="0"/>
          <w:numId w:val="1"/>
        </w:numPr>
        <w:spacing w:line="360" w:lineRule="auto"/>
        <w:rPr>
          <w:rFonts w:ascii="仿宋" w:hAnsi="仿宋" w:eastAsia="仿宋"/>
          <w:color w:val="000000" w:themeColor="text1"/>
          <w:sz w:val="24"/>
        </w:rPr>
      </w:pPr>
      <w:r>
        <w:rPr>
          <w:rFonts w:hint="eastAsia" w:ascii="仿宋" w:hAnsi="仿宋" w:eastAsia="仿宋"/>
          <w:color w:val="000000" w:themeColor="text1"/>
          <w:sz w:val="24"/>
        </w:rPr>
        <w:t>所有刷涂料项目中，现场均包含线槽管刷涂料，线槽切割机切割，包含铺设网格布，不另行签证。</w:t>
      </w:r>
      <w:r>
        <w:rPr>
          <w:rFonts w:hint="eastAsia" w:ascii="仿宋" w:hAnsi="仿宋" w:eastAsia="仿宋"/>
          <w:color w:val="000000" w:themeColor="text1"/>
          <w:sz w:val="24"/>
          <w:lang w:val="en-US" w:eastAsia="zh-CN"/>
        </w:rPr>
        <w:t xml:space="preserve"> </w:t>
      </w:r>
    </w:p>
    <w:p w14:paraId="4A2B7AC9">
      <w:pPr>
        <w:numPr>
          <w:ilvl w:val="0"/>
          <w:numId w:val="1"/>
        </w:numPr>
        <w:spacing w:line="360" w:lineRule="auto"/>
        <w:ind w:left="780" w:leftChars="0" w:hanging="420" w:firstLineChars="0"/>
        <w:rPr>
          <w:rFonts w:ascii="仿宋" w:hAnsi="仿宋" w:eastAsia="仿宋"/>
          <w:color w:val="000000" w:themeColor="text1"/>
          <w:sz w:val="24"/>
        </w:rPr>
      </w:pPr>
      <w:r>
        <w:rPr>
          <w:rFonts w:hint="eastAsia" w:ascii="仿宋" w:hAnsi="仿宋" w:eastAsia="仿宋" w:cs="仿宋"/>
          <w:sz w:val="24"/>
        </w:rPr>
        <w:t>本工程砼采用非泵送商品砼，砂浆采用自拌砂浆。</w:t>
      </w:r>
      <w:r>
        <w:rPr>
          <w:rFonts w:hint="eastAsia" w:ascii="仿宋" w:hAnsi="仿宋" w:eastAsia="仿宋" w:cs="仿宋"/>
          <w:sz w:val="24"/>
          <w:lang w:val="en-US" w:eastAsia="zh-CN"/>
        </w:rPr>
        <w:t xml:space="preserve"> </w:t>
      </w:r>
    </w:p>
    <w:p w14:paraId="34FB9D39">
      <w:pPr>
        <w:tabs>
          <w:tab w:val="left" w:pos="780"/>
        </w:tabs>
        <w:spacing w:line="360" w:lineRule="auto"/>
        <w:rPr>
          <w:rFonts w:ascii="仿宋" w:hAnsi="仿宋" w:eastAsia="仿宋"/>
          <w:color w:val="000000" w:themeColor="text1"/>
          <w:sz w:val="24"/>
        </w:rPr>
      </w:pPr>
    </w:p>
    <w:p w14:paraId="4DFD7583">
      <w:pPr>
        <w:spacing w:line="360" w:lineRule="auto"/>
        <w:rPr>
          <w:rFonts w:ascii="仿宋" w:hAnsi="仿宋" w:eastAsia="仿宋" w:cs="仿宋"/>
          <w:color w:val="000000"/>
          <w:sz w:val="24"/>
        </w:rPr>
      </w:pPr>
      <w:bookmarkStart w:id="0" w:name="_GoBack"/>
      <w:bookmarkEnd w:id="0"/>
      <w:r>
        <w:rPr>
          <w:rFonts w:hint="eastAsia" w:ascii="仿宋" w:hAnsi="仿宋" w:eastAsia="仿宋" w:cs="仿宋"/>
          <w:b/>
          <w:color w:val="000000"/>
          <w:sz w:val="28"/>
          <w:szCs w:val="28"/>
        </w:rPr>
        <w:t>四、做法说明</w:t>
      </w:r>
      <w:r>
        <w:rPr>
          <w:rFonts w:hint="eastAsia" w:ascii="仿宋" w:hAnsi="仿宋" w:eastAsia="仿宋" w:cs="仿宋"/>
          <w:color w:val="000000"/>
          <w:sz w:val="32"/>
          <w:szCs w:val="32"/>
        </w:rPr>
        <w:t>：</w:t>
      </w:r>
    </w:p>
    <w:p w14:paraId="69198B5B">
      <w:pPr>
        <w:spacing w:line="360" w:lineRule="auto"/>
        <w:ind w:firstLine="480"/>
        <w:rPr>
          <w:rFonts w:ascii="仿宋" w:hAnsi="仿宋" w:eastAsia="仿宋"/>
          <w:b/>
          <w:sz w:val="24"/>
        </w:rPr>
      </w:pPr>
      <w:r>
        <w:rPr>
          <w:rFonts w:hint="eastAsia" w:ascii="仿宋" w:hAnsi="仿宋" w:eastAsia="仿宋"/>
          <w:b/>
          <w:sz w:val="24"/>
        </w:rPr>
        <w:t>具体做法参照清单描述，本说明与清单描述冲突的以清单描述为准。</w:t>
      </w:r>
    </w:p>
    <w:p w14:paraId="109B7BFE">
      <w:pPr>
        <w:rPr>
          <w:rFonts w:hint="eastAsia"/>
          <w:sz w:val="28"/>
          <w:szCs w:val="28"/>
          <w:lang w:val="en-US" w:eastAsia="zh-CN"/>
        </w:rPr>
      </w:pPr>
      <w:r>
        <w:rPr>
          <w:rFonts w:hint="eastAsia"/>
          <w:sz w:val="28"/>
          <w:szCs w:val="28"/>
        </w:rPr>
        <w:t>A</w:t>
      </w:r>
      <w:r>
        <w:rPr>
          <w:rFonts w:hint="eastAsia"/>
          <w:sz w:val="28"/>
          <w:szCs w:val="28"/>
          <w:lang w:val="en-US" w:eastAsia="zh-CN"/>
        </w:rPr>
        <w:t>.</w:t>
      </w:r>
      <w:r>
        <w:rPr>
          <w:rFonts w:hint="eastAsia"/>
          <w:sz w:val="28"/>
          <w:szCs w:val="28"/>
          <w:lang w:eastAsia="zh-CN"/>
        </w:rPr>
        <w:t>加固部分</w:t>
      </w:r>
      <w:r>
        <w:rPr>
          <w:rFonts w:hint="eastAsia"/>
          <w:sz w:val="28"/>
          <w:szCs w:val="28"/>
        </w:rPr>
        <w:t>：</w:t>
      </w:r>
      <w:r>
        <w:rPr>
          <w:rFonts w:hint="eastAsia"/>
          <w:sz w:val="28"/>
          <w:szCs w:val="28"/>
          <w:lang w:val="en-US" w:eastAsia="zh-CN"/>
        </w:rPr>
        <w:t xml:space="preserve"> </w:t>
      </w:r>
    </w:p>
    <w:p w14:paraId="1A5E57C1">
      <w:pPr>
        <w:numPr>
          <w:ilvl w:val="0"/>
          <w:numId w:val="2"/>
        </w:numPr>
        <w:spacing w:line="360" w:lineRule="auto"/>
        <w:ind w:left="425" w:leftChars="0" w:hanging="425" w:firstLineChars="0"/>
        <w:rPr>
          <w:rFonts w:hint="eastAsia" w:ascii="仿宋" w:hAnsi="仿宋" w:eastAsia="仿宋" w:cs="仿宋"/>
          <w:sz w:val="24"/>
          <w:lang w:val="en-US" w:eastAsia="zh-CN"/>
        </w:rPr>
      </w:pPr>
      <w:r>
        <w:rPr>
          <w:rFonts w:hint="eastAsia" w:ascii="仿宋" w:hAnsi="仿宋" w:eastAsia="仿宋" w:cs="仿宋"/>
          <w:sz w:val="24"/>
        </w:rPr>
        <w:t>梁底粘钢加固</w:t>
      </w:r>
      <w:r>
        <w:rPr>
          <w:rFonts w:hint="eastAsia" w:ascii="仿宋" w:hAnsi="仿宋" w:eastAsia="仿宋" w:cs="仿宋"/>
          <w:sz w:val="24"/>
          <w:lang w:eastAsia="zh-CN"/>
        </w:rPr>
        <w:t>，梁侧面、底面粘钢部位：采用25mm厚1:2.5水泥砂浆防护(内加热镀锌钢丝网防裂)；由于相邻粘板之间间距较小及考虑梁的整体美观性，则采用梁整体粉刷</w:t>
      </w:r>
      <w:r>
        <w:rPr>
          <w:rFonts w:hint="eastAsia" w:ascii="仿宋" w:hAnsi="仿宋" w:eastAsia="仿宋" w:cs="仿宋"/>
          <w:sz w:val="24"/>
        </w:rPr>
        <w:t>。</w:t>
      </w:r>
      <w:r>
        <w:rPr>
          <w:rFonts w:hint="eastAsia" w:ascii="仿宋" w:hAnsi="仿宋" w:eastAsia="仿宋" w:cs="仿宋"/>
          <w:sz w:val="24"/>
          <w:lang w:val="en-US" w:eastAsia="zh-CN"/>
        </w:rPr>
        <w:t xml:space="preserve"> </w:t>
      </w:r>
    </w:p>
    <w:p w14:paraId="04A2B932">
      <w:pPr>
        <w:numPr>
          <w:ilvl w:val="0"/>
          <w:numId w:val="2"/>
        </w:numPr>
        <w:spacing w:line="480" w:lineRule="exact"/>
        <w:ind w:left="425" w:leftChars="0" w:hanging="425" w:firstLineChars="0"/>
        <w:rPr>
          <w:rFonts w:hint="eastAsia" w:ascii="仿宋" w:hAnsi="仿宋" w:eastAsia="仿宋" w:cs="仿宋"/>
          <w:sz w:val="24"/>
          <w:lang w:val="en-US" w:eastAsia="zh-CN"/>
        </w:rPr>
      </w:pPr>
      <w:r>
        <w:rPr>
          <w:rFonts w:hint="eastAsia" w:ascii="仿宋" w:hAnsi="仿宋" w:eastAsia="仿宋" w:cs="仿宋"/>
          <w:sz w:val="24"/>
          <w:lang w:val="en-US" w:eastAsia="zh-CN"/>
        </w:rPr>
        <w:t>四层板、五层板</w:t>
      </w:r>
      <w:r>
        <w:rPr>
          <w:rFonts w:hint="eastAsia" w:ascii="仿宋" w:hAnsi="仿宋" w:eastAsia="仿宋" w:cs="仿宋"/>
          <w:sz w:val="24"/>
        </w:rPr>
        <w:t>碳纤维布加固。</w:t>
      </w:r>
      <w:r>
        <w:rPr>
          <w:rFonts w:hint="eastAsia" w:ascii="仿宋" w:hAnsi="仿宋" w:eastAsia="仿宋" w:cs="仿宋"/>
          <w:sz w:val="24"/>
          <w:lang w:val="en-US" w:eastAsia="zh-CN"/>
        </w:rPr>
        <w:t xml:space="preserve"> </w:t>
      </w:r>
    </w:p>
    <w:p w14:paraId="2430CFB2">
      <w:pPr>
        <w:numPr>
          <w:ilvl w:val="0"/>
          <w:numId w:val="2"/>
        </w:numPr>
        <w:spacing w:line="480" w:lineRule="exact"/>
        <w:ind w:left="425" w:leftChars="0" w:hanging="425" w:firstLineChars="0"/>
        <w:rPr>
          <w:rFonts w:hint="default" w:ascii="仿宋" w:hAnsi="仿宋" w:eastAsia="仿宋" w:cs="仿宋"/>
          <w:sz w:val="24"/>
          <w:lang w:val="en-US" w:eastAsia="zh-CN"/>
        </w:rPr>
      </w:pPr>
      <w:r>
        <w:rPr>
          <w:rFonts w:hint="eastAsia" w:ascii="仿宋" w:hAnsi="仿宋" w:eastAsia="仿宋" w:cs="仿宋"/>
          <w:sz w:val="24"/>
          <w:lang w:val="en-US" w:eastAsia="zh-CN"/>
        </w:rPr>
        <w:t>餐梯顶部新增H型钢梁，Q235B钢材制作安装（螺栓连接），构件喷砂（抛丸），防火防腐要求：环氧富锌底漆70μm(1遍)+环氧云铁中间漆110μm(2遍)+耐火极限1.5小时防火涂料，具体要求详见见图纸。</w:t>
      </w:r>
    </w:p>
    <w:p w14:paraId="09DF879C">
      <w:pPr>
        <w:rPr>
          <w:rFonts w:ascii="仿宋" w:hAnsi="仿宋" w:eastAsia="仿宋" w:cs="仿宋"/>
          <w:sz w:val="24"/>
        </w:rPr>
      </w:pPr>
    </w:p>
    <w:p w14:paraId="0FB083CD">
      <w:pPr>
        <w:spacing w:line="360" w:lineRule="auto"/>
        <w:ind w:left="1039" w:leftChars="228" w:hanging="560" w:hangingChars="200"/>
        <w:rPr>
          <w:rFonts w:hint="eastAsia" w:ascii="仿宋" w:hAnsi="仿宋" w:eastAsia="仿宋"/>
          <w:bCs/>
          <w:sz w:val="28"/>
          <w:szCs w:val="28"/>
          <w:lang w:val="en-US" w:eastAsia="zh-CN"/>
        </w:rPr>
      </w:pPr>
    </w:p>
    <w:p w14:paraId="5D6A0423">
      <w:pPr>
        <w:spacing w:line="360" w:lineRule="auto"/>
        <w:ind w:left="1037" w:leftChars="494" w:firstLine="3080" w:firstLineChars="1100"/>
        <w:rPr>
          <w:rFonts w:hint="eastAsia" w:ascii="仿宋" w:hAnsi="仿宋" w:eastAsia="仿宋"/>
          <w:bCs/>
          <w:sz w:val="28"/>
          <w:szCs w:val="28"/>
          <w:lang w:val="en-US" w:eastAsia="zh-CN"/>
        </w:rPr>
      </w:pPr>
      <w:r>
        <w:rPr>
          <w:rFonts w:hint="eastAsia" w:ascii="仿宋" w:hAnsi="仿宋" w:eastAsia="仿宋"/>
          <w:bCs/>
          <w:sz w:val="28"/>
          <w:szCs w:val="28"/>
        </w:rPr>
        <w:t>江苏信达建设工程咨询有限公司</w:t>
      </w:r>
      <w:r>
        <w:rPr>
          <w:rFonts w:hint="eastAsia" w:ascii="仿宋" w:hAnsi="仿宋" w:eastAsia="仿宋"/>
          <w:bCs/>
          <w:sz w:val="28"/>
          <w:szCs w:val="28"/>
          <w:lang w:val="en-US" w:eastAsia="zh-CN"/>
        </w:rPr>
        <w:t xml:space="preserve">  </w:t>
      </w:r>
    </w:p>
    <w:p w14:paraId="6EE5EBA9">
      <w:pPr>
        <w:spacing w:line="360" w:lineRule="auto"/>
        <w:ind w:firstLine="5040" w:firstLineChars="1800"/>
        <w:rPr>
          <w:rFonts w:ascii="仿宋" w:hAnsi="仿宋" w:eastAsia="仿宋"/>
          <w:bCs/>
          <w:sz w:val="28"/>
          <w:szCs w:val="28"/>
        </w:rPr>
      </w:pPr>
      <w:r>
        <w:rPr>
          <w:rFonts w:hint="eastAsia" w:ascii="仿宋" w:hAnsi="仿宋" w:eastAsia="仿宋"/>
          <w:bCs/>
          <w:sz w:val="28"/>
          <w:szCs w:val="28"/>
        </w:rPr>
        <w:t>202</w:t>
      </w:r>
      <w:r>
        <w:rPr>
          <w:rFonts w:hint="eastAsia" w:ascii="仿宋" w:hAnsi="仿宋" w:eastAsia="仿宋"/>
          <w:bCs/>
          <w:sz w:val="28"/>
          <w:szCs w:val="28"/>
          <w:lang w:val="en-US" w:eastAsia="zh-CN"/>
        </w:rPr>
        <w:t>5</w:t>
      </w:r>
      <w:r>
        <w:rPr>
          <w:rFonts w:hint="eastAsia" w:ascii="仿宋" w:hAnsi="仿宋" w:eastAsia="仿宋"/>
          <w:bCs/>
          <w:sz w:val="28"/>
          <w:szCs w:val="28"/>
        </w:rPr>
        <w:t>年</w:t>
      </w:r>
      <w:r>
        <w:rPr>
          <w:rFonts w:hint="eastAsia" w:ascii="仿宋" w:hAnsi="仿宋" w:eastAsia="仿宋"/>
          <w:bCs/>
          <w:sz w:val="28"/>
          <w:szCs w:val="28"/>
          <w:lang w:val="en-US" w:eastAsia="zh-CN"/>
        </w:rPr>
        <w:t>7</w:t>
      </w:r>
      <w:r>
        <w:rPr>
          <w:rFonts w:hint="eastAsia" w:ascii="仿宋" w:hAnsi="仿宋" w:eastAsia="仿宋"/>
          <w:bCs/>
          <w:sz w:val="28"/>
          <w:szCs w:val="28"/>
        </w:rPr>
        <w:t>月</w:t>
      </w:r>
      <w:r>
        <w:rPr>
          <w:rFonts w:hint="eastAsia" w:ascii="仿宋" w:hAnsi="仿宋" w:eastAsia="仿宋"/>
          <w:bCs/>
          <w:sz w:val="28"/>
          <w:szCs w:val="28"/>
          <w:lang w:val="en-US" w:eastAsia="zh-CN"/>
        </w:rPr>
        <w:t>15</w:t>
      </w:r>
      <w:r>
        <w:rPr>
          <w:rFonts w:hint="eastAsia" w:ascii="仿宋" w:hAnsi="仿宋" w:eastAsia="仿宋"/>
          <w:bCs/>
          <w:sz w:val="28"/>
          <w:szCs w:val="28"/>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91090"/>
    </w:sdtPr>
    <w:sdtContent>
      <w:p w14:paraId="556ACC2A">
        <w:pPr>
          <w:pStyle w:val="3"/>
          <w:jc w:val="center"/>
        </w:pPr>
        <w:r>
          <w:fldChar w:fldCharType="begin"/>
        </w:r>
        <w:r>
          <w:instrText xml:space="preserve"> PAGE   \* MERGEFORMAT </w:instrText>
        </w:r>
        <w:r>
          <w:fldChar w:fldCharType="separate"/>
        </w:r>
        <w:r>
          <w:rPr>
            <w:lang w:val="zh-CN"/>
          </w:rPr>
          <w:t>6</w:t>
        </w:r>
        <w:r>
          <w:rPr>
            <w:lang w:val="zh-CN"/>
          </w:rPr>
          <w:fldChar w:fldCharType="end"/>
        </w:r>
      </w:p>
    </w:sdtContent>
  </w:sdt>
  <w:p w14:paraId="07BA0582">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03380E"/>
    <w:multiLevelType w:val="multilevel"/>
    <w:tmpl w:val="5F03380E"/>
    <w:lvl w:ilvl="0" w:tentative="0">
      <w:start w:val="1"/>
      <w:numFmt w:val="decimal"/>
      <w:lvlText w:val="%1."/>
      <w:lvlJc w:val="left"/>
      <w:pPr>
        <w:tabs>
          <w:tab w:val="left" w:pos="780"/>
        </w:tabs>
        <w:ind w:left="780" w:hanging="420"/>
      </w:pPr>
      <w:rPr>
        <w:rFonts w:hint="eastAsia"/>
        <w:color w:val="000000"/>
      </w:rPr>
    </w:lvl>
    <w:lvl w:ilvl="1" w:tentative="0">
      <w:start w:val="1"/>
      <w:numFmt w:val="decimal"/>
      <w:lvlText w:val="%2、"/>
      <w:lvlJc w:val="left"/>
      <w:pPr>
        <w:tabs>
          <w:tab w:val="left" w:pos="786"/>
        </w:tabs>
        <w:ind w:left="786" w:hanging="360"/>
      </w:pPr>
      <w:rPr>
        <w:rFonts w:hint="default"/>
      </w:rPr>
    </w:lvl>
    <w:lvl w:ilvl="2" w:tentative="0">
      <w:start w:val="1"/>
      <w:numFmt w:val="decimal"/>
      <w:lvlText w:val="%3"/>
      <w:lvlJc w:val="left"/>
      <w:pPr>
        <w:ind w:left="1200" w:hanging="360"/>
      </w:pPr>
      <w:rPr>
        <w:rFonts w:hint="default"/>
        <w:b/>
      </w:rPr>
    </w:lvl>
    <w:lvl w:ilvl="3" w:tentative="0">
      <w:start w:val="1"/>
      <w:numFmt w:val="decimal"/>
      <w:lvlText w:val="%4、"/>
      <w:lvlJc w:val="left"/>
      <w:pPr>
        <w:ind w:left="1620" w:hanging="360"/>
      </w:pPr>
      <w:rPr>
        <w:rFonts w:hint="default"/>
        <w:b/>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760A681F"/>
    <w:multiLevelType w:val="singleLevel"/>
    <w:tmpl w:val="760A681F"/>
    <w:lvl w:ilvl="0" w:tentative="0">
      <w:start w:val="1"/>
      <w:numFmt w:val="decimal"/>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2E817FF4"/>
    <w:rsid w:val="000009AD"/>
    <w:rsid w:val="00022829"/>
    <w:rsid w:val="00035FA7"/>
    <w:rsid w:val="000428F3"/>
    <w:rsid w:val="00051A78"/>
    <w:rsid w:val="00060E52"/>
    <w:rsid w:val="0006655A"/>
    <w:rsid w:val="00070609"/>
    <w:rsid w:val="00074983"/>
    <w:rsid w:val="00081357"/>
    <w:rsid w:val="00090F1A"/>
    <w:rsid w:val="00094310"/>
    <w:rsid w:val="000C1894"/>
    <w:rsid w:val="000C4419"/>
    <w:rsid w:val="000C7622"/>
    <w:rsid w:val="000D67EC"/>
    <w:rsid w:val="000E5826"/>
    <w:rsid w:val="000F6158"/>
    <w:rsid w:val="00102C40"/>
    <w:rsid w:val="0012217E"/>
    <w:rsid w:val="0014099C"/>
    <w:rsid w:val="001433F6"/>
    <w:rsid w:val="0014495D"/>
    <w:rsid w:val="00155D30"/>
    <w:rsid w:val="00164B7C"/>
    <w:rsid w:val="001727C5"/>
    <w:rsid w:val="001733AC"/>
    <w:rsid w:val="0017441C"/>
    <w:rsid w:val="001A30B8"/>
    <w:rsid w:val="001A46FD"/>
    <w:rsid w:val="001B7384"/>
    <w:rsid w:val="001C6D3B"/>
    <w:rsid w:val="001E27B4"/>
    <w:rsid w:val="001F2761"/>
    <w:rsid w:val="00200A06"/>
    <w:rsid w:val="00204DA6"/>
    <w:rsid w:val="002077F7"/>
    <w:rsid w:val="00225D08"/>
    <w:rsid w:val="00233B5E"/>
    <w:rsid w:val="00250182"/>
    <w:rsid w:val="00253A3F"/>
    <w:rsid w:val="002631CC"/>
    <w:rsid w:val="002656B1"/>
    <w:rsid w:val="00285021"/>
    <w:rsid w:val="00292C5B"/>
    <w:rsid w:val="002C2E37"/>
    <w:rsid w:val="002C2EE0"/>
    <w:rsid w:val="002C7303"/>
    <w:rsid w:val="002D5BEE"/>
    <w:rsid w:val="002F26C5"/>
    <w:rsid w:val="002F3544"/>
    <w:rsid w:val="00311D43"/>
    <w:rsid w:val="003141C6"/>
    <w:rsid w:val="00315E17"/>
    <w:rsid w:val="003359D5"/>
    <w:rsid w:val="003410BB"/>
    <w:rsid w:val="003456F0"/>
    <w:rsid w:val="00370D76"/>
    <w:rsid w:val="00371E37"/>
    <w:rsid w:val="00381251"/>
    <w:rsid w:val="003815C8"/>
    <w:rsid w:val="003875FC"/>
    <w:rsid w:val="00392454"/>
    <w:rsid w:val="00396A16"/>
    <w:rsid w:val="003A3719"/>
    <w:rsid w:val="003B4C97"/>
    <w:rsid w:val="003B7DC5"/>
    <w:rsid w:val="003C2CFA"/>
    <w:rsid w:val="003D34CA"/>
    <w:rsid w:val="003F5EEB"/>
    <w:rsid w:val="004113FE"/>
    <w:rsid w:val="00413A14"/>
    <w:rsid w:val="00415F21"/>
    <w:rsid w:val="00442FAB"/>
    <w:rsid w:val="0046122E"/>
    <w:rsid w:val="00471FC9"/>
    <w:rsid w:val="00480012"/>
    <w:rsid w:val="00495C4F"/>
    <w:rsid w:val="00496E9E"/>
    <w:rsid w:val="004A0E43"/>
    <w:rsid w:val="004A3FDB"/>
    <w:rsid w:val="004B31C6"/>
    <w:rsid w:val="004B7FFA"/>
    <w:rsid w:val="004C0BC5"/>
    <w:rsid w:val="004C4414"/>
    <w:rsid w:val="004D5E78"/>
    <w:rsid w:val="004E4A8B"/>
    <w:rsid w:val="004F16D8"/>
    <w:rsid w:val="00512A50"/>
    <w:rsid w:val="00522EDE"/>
    <w:rsid w:val="00541A36"/>
    <w:rsid w:val="00553372"/>
    <w:rsid w:val="005533D7"/>
    <w:rsid w:val="00570299"/>
    <w:rsid w:val="00570BF7"/>
    <w:rsid w:val="00571DCE"/>
    <w:rsid w:val="00576330"/>
    <w:rsid w:val="00593682"/>
    <w:rsid w:val="005C2C3A"/>
    <w:rsid w:val="0060238C"/>
    <w:rsid w:val="006034DC"/>
    <w:rsid w:val="00607F9E"/>
    <w:rsid w:val="00630659"/>
    <w:rsid w:val="00646ADB"/>
    <w:rsid w:val="00661733"/>
    <w:rsid w:val="00663EBB"/>
    <w:rsid w:val="00676559"/>
    <w:rsid w:val="00676ADD"/>
    <w:rsid w:val="00693A9B"/>
    <w:rsid w:val="006A33D6"/>
    <w:rsid w:val="006A46E5"/>
    <w:rsid w:val="006A5CAA"/>
    <w:rsid w:val="006D4D41"/>
    <w:rsid w:val="006E48F1"/>
    <w:rsid w:val="006F0FA9"/>
    <w:rsid w:val="00716507"/>
    <w:rsid w:val="00722D44"/>
    <w:rsid w:val="00723461"/>
    <w:rsid w:val="00723DB4"/>
    <w:rsid w:val="007248A7"/>
    <w:rsid w:val="00730322"/>
    <w:rsid w:val="00742291"/>
    <w:rsid w:val="00742525"/>
    <w:rsid w:val="0074311B"/>
    <w:rsid w:val="00754454"/>
    <w:rsid w:val="0079215F"/>
    <w:rsid w:val="007951D4"/>
    <w:rsid w:val="007B31AA"/>
    <w:rsid w:val="007D27E9"/>
    <w:rsid w:val="007F60E5"/>
    <w:rsid w:val="008039B3"/>
    <w:rsid w:val="00820C1B"/>
    <w:rsid w:val="008275ED"/>
    <w:rsid w:val="008322D6"/>
    <w:rsid w:val="0083240E"/>
    <w:rsid w:val="00836227"/>
    <w:rsid w:val="0084427A"/>
    <w:rsid w:val="00845155"/>
    <w:rsid w:val="00862868"/>
    <w:rsid w:val="00871EA5"/>
    <w:rsid w:val="00885E2E"/>
    <w:rsid w:val="008906DE"/>
    <w:rsid w:val="008955A4"/>
    <w:rsid w:val="008A0B79"/>
    <w:rsid w:val="008A5684"/>
    <w:rsid w:val="008B771F"/>
    <w:rsid w:val="008C01EA"/>
    <w:rsid w:val="008E5266"/>
    <w:rsid w:val="0090589F"/>
    <w:rsid w:val="0091136A"/>
    <w:rsid w:val="00911578"/>
    <w:rsid w:val="0091739F"/>
    <w:rsid w:val="00921CB5"/>
    <w:rsid w:val="009258C8"/>
    <w:rsid w:val="00931744"/>
    <w:rsid w:val="009356AC"/>
    <w:rsid w:val="00936515"/>
    <w:rsid w:val="00936D1A"/>
    <w:rsid w:val="00941E48"/>
    <w:rsid w:val="00960CC0"/>
    <w:rsid w:val="0097067B"/>
    <w:rsid w:val="00972961"/>
    <w:rsid w:val="00973FC2"/>
    <w:rsid w:val="009946F6"/>
    <w:rsid w:val="00995263"/>
    <w:rsid w:val="009A7E4B"/>
    <w:rsid w:val="009C308C"/>
    <w:rsid w:val="009C5C13"/>
    <w:rsid w:val="009D1561"/>
    <w:rsid w:val="009E2E88"/>
    <w:rsid w:val="009E57B0"/>
    <w:rsid w:val="009E7E39"/>
    <w:rsid w:val="009F13D8"/>
    <w:rsid w:val="00A0263A"/>
    <w:rsid w:val="00A17ECF"/>
    <w:rsid w:val="00A22D88"/>
    <w:rsid w:val="00A34AC0"/>
    <w:rsid w:val="00A35E09"/>
    <w:rsid w:val="00A423FB"/>
    <w:rsid w:val="00A430B0"/>
    <w:rsid w:val="00A56BDE"/>
    <w:rsid w:val="00A74B20"/>
    <w:rsid w:val="00A77338"/>
    <w:rsid w:val="00A77D9B"/>
    <w:rsid w:val="00A810CA"/>
    <w:rsid w:val="00AB04F5"/>
    <w:rsid w:val="00AB39F9"/>
    <w:rsid w:val="00AB6754"/>
    <w:rsid w:val="00AB7688"/>
    <w:rsid w:val="00AD537D"/>
    <w:rsid w:val="00AF5D4A"/>
    <w:rsid w:val="00AF75A1"/>
    <w:rsid w:val="00B02FA7"/>
    <w:rsid w:val="00B13F1A"/>
    <w:rsid w:val="00B22B9D"/>
    <w:rsid w:val="00B26E27"/>
    <w:rsid w:val="00B3127C"/>
    <w:rsid w:val="00B54A46"/>
    <w:rsid w:val="00B60313"/>
    <w:rsid w:val="00B625B4"/>
    <w:rsid w:val="00B8518C"/>
    <w:rsid w:val="00B952BD"/>
    <w:rsid w:val="00BA0559"/>
    <w:rsid w:val="00BA51E3"/>
    <w:rsid w:val="00BA7A52"/>
    <w:rsid w:val="00BB667E"/>
    <w:rsid w:val="00BC4AFB"/>
    <w:rsid w:val="00BE169D"/>
    <w:rsid w:val="00BE62FF"/>
    <w:rsid w:val="00C073ED"/>
    <w:rsid w:val="00C07CB6"/>
    <w:rsid w:val="00C15F9D"/>
    <w:rsid w:val="00C3008B"/>
    <w:rsid w:val="00C42AFD"/>
    <w:rsid w:val="00C50294"/>
    <w:rsid w:val="00C646D5"/>
    <w:rsid w:val="00C661F4"/>
    <w:rsid w:val="00C66A5D"/>
    <w:rsid w:val="00C81C5E"/>
    <w:rsid w:val="00C836BD"/>
    <w:rsid w:val="00C964AA"/>
    <w:rsid w:val="00CA43FA"/>
    <w:rsid w:val="00CB77B3"/>
    <w:rsid w:val="00CE582A"/>
    <w:rsid w:val="00CE7F18"/>
    <w:rsid w:val="00CF6390"/>
    <w:rsid w:val="00D02FA8"/>
    <w:rsid w:val="00D0738C"/>
    <w:rsid w:val="00D13F0E"/>
    <w:rsid w:val="00D1642A"/>
    <w:rsid w:val="00D17B68"/>
    <w:rsid w:val="00D27503"/>
    <w:rsid w:val="00D42B8F"/>
    <w:rsid w:val="00D450C9"/>
    <w:rsid w:val="00D465FF"/>
    <w:rsid w:val="00D64F6B"/>
    <w:rsid w:val="00D65C69"/>
    <w:rsid w:val="00D76FFD"/>
    <w:rsid w:val="00D85966"/>
    <w:rsid w:val="00D863AD"/>
    <w:rsid w:val="00DB42B2"/>
    <w:rsid w:val="00DE19C9"/>
    <w:rsid w:val="00DF3975"/>
    <w:rsid w:val="00DF6F8A"/>
    <w:rsid w:val="00E06B5E"/>
    <w:rsid w:val="00E115F8"/>
    <w:rsid w:val="00E1319A"/>
    <w:rsid w:val="00E14270"/>
    <w:rsid w:val="00E21D5D"/>
    <w:rsid w:val="00E24F9F"/>
    <w:rsid w:val="00E53156"/>
    <w:rsid w:val="00E57556"/>
    <w:rsid w:val="00EA0A77"/>
    <w:rsid w:val="00EA2FDF"/>
    <w:rsid w:val="00EB0D23"/>
    <w:rsid w:val="00EB68E1"/>
    <w:rsid w:val="00EC2B96"/>
    <w:rsid w:val="00EC3716"/>
    <w:rsid w:val="00EC3C98"/>
    <w:rsid w:val="00EE4945"/>
    <w:rsid w:val="00F0265C"/>
    <w:rsid w:val="00F17F3B"/>
    <w:rsid w:val="00F2363A"/>
    <w:rsid w:val="00F236B7"/>
    <w:rsid w:val="00F239E5"/>
    <w:rsid w:val="00F30192"/>
    <w:rsid w:val="00F317F1"/>
    <w:rsid w:val="00F375BD"/>
    <w:rsid w:val="00F41AC9"/>
    <w:rsid w:val="00F63815"/>
    <w:rsid w:val="00F73EE5"/>
    <w:rsid w:val="00F75665"/>
    <w:rsid w:val="00F82008"/>
    <w:rsid w:val="00F85382"/>
    <w:rsid w:val="00F85EA5"/>
    <w:rsid w:val="00F97E67"/>
    <w:rsid w:val="00FA7334"/>
    <w:rsid w:val="00FC190C"/>
    <w:rsid w:val="00FC2C22"/>
    <w:rsid w:val="00FF171A"/>
    <w:rsid w:val="00FF1B99"/>
    <w:rsid w:val="00FF7DB5"/>
    <w:rsid w:val="025E6928"/>
    <w:rsid w:val="03252553"/>
    <w:rsid w:val="03FF32D8"/>
    <w:rsid w:val="070677A2"/>
    <w:rsid w:val="075517F1"/>
    <w:rsid w:val="0A0E1203"/>
    <w:rsid w:val="0AE1357C"/>
    <w:rsid w:val="0CA746A5"/>
    <w:rsid w:val="0EAF2A4C"/>
    <w:rsid w:val="0F2403D3"/>
    <w:rsid w:val="119F714C"/>
    <w:rsid w:val="142F44DC"/>
    <w:rsid w:val="16650F59"/>
    <w:rsid w:val="1812350D"/>
    <w:rsid w:val="188E43B7"/>
    <w:rsid w:val="18C439DD"/>
    <w:rsid w:val="18DE5A14"/>
    <w:rsid w:val="19BD301B"/>
    <w:rsid w:val="1AB5246D"/>
    <w:rsid w:val="1C334EC9"/>
    <w:rsid w:val="1D00374D"/>
    <w:rsid w:val="1D3603DA"/>
    <w:rsid w:val="209D487B"/>
    <w:rsid w:val="20B038EC"/>
    <w:rsid w:val="21575617"/>
    <w:rsid w:val="21963D50"/>
    <w:rsid w:val="21DC7625"/>
    <w:rsid w:val="22383C47"/>
    <w:rsid w:val="243378E8"/>
    <w:rsid w:val="24DA03E4"/>
    <w:rsid w:val="26A36CCB"/>
    <w:rsid w:val="2857142C"/>
    <w:rsid w:val="2AA37AE9"/>
    <w:rsid w:val="2C8E776E"/>
    <w:rsid w:val="2E817FF4"/>
    <w:rsid w:val="38275CCC"/>
    <w:rsid w:val="39894CA2"/>
    <w:rsid w:val="3A9D4944"/>
    <w:rsid w:val="3CB036B4"/>
    <w:rsid w:val="3CC64D02"/>
    <w:rsid w:val="40257C5F"/>
    <w:rsid w:val="42570E22"/>
    <w:rsid w:val="433D6A19"/>
    <w:rsid w:val="43FC139E"/>
    <w:rsid w:val="454B082A"/>
    <w:rsid w:val="46AD6BCC"/>
    <w:rsid w:val="481827E8"/>
    <w:rsid w:val="48D92FEB"/>
    <w:rsid w:val="493B1763"/>
    <w:rsid w:val="496752A2"/>
    <w:rsid w:val="4B7036F2"/>
    <w:rsid w:val="4DC63C21"/>
    <w:rsid w:val="4E2B134B"/>
    <w:rsid w:val="4F133DD7"/>
    <w:rsid w:val="500E459E"/>
    <w:rsid w:val="51A74CAA"/>
    <w:rsid w:val="53A64448"/>
    <w:rsid w:val="54624EB9"/>
    <w:rsid w:val="54BE12E8"/>
    <w:rsid w:val="558C464E"/>
    <w:rsid w:val="55AE2AAB"/>
    <w:rsid w:val="55E22755"/>
    <w:rsid w:val="56D0050E"/>
    <w:rsid w:val="56E5273F"/>
    <w:rsid w:val="58120D9C"/>
    <w:rsid w:val="5867772B"/>
    <w:rsid w:val="5E0E3E35"/>
    <w:rsid w:val="5E822B3F"/>
    <w:rsid w:val="610233D2"/>
    <w:rsid w:val="61140F11"/>
    <w:rsid w:val="61F239D4"/>
    <w:rsid w:val="6263077A"/>
    <w:rsid w:val="626A2EB8"/>
    <w:rsid w:val="63E47C68"/>
    <w:rsid w:val="657D5FF6"/>
    <w:rsid w:val="65D24E68"/>
    <w:rsid w:val="66CE5632"/>
    <w:rsid w:val="67634D59"/>
    <w:rsid w:val="694035C4"/>
    <w:rsid w:val="6C973967"/>
    <w:rsid w:val="6D2F00F6"/>
    <w:rsid w:val="6D606D8F"/>
    <w:rsid w:val="6E0C7F17"/>
    <w:rsid w:val="6E7837FF"/>
    <w:rsid w:val="6F923198"/>
    <w:rsid w:val="741B7106"/>
    <w:rsid w:val="74D56175"/>
    <w:rsid w:val="74DC6C71"/>
    <w:rsid w:val="756E721F"/>
    <w:rsid w:val="77831CF9"/>
    <w:rsid w:val="77A76FA9"/>
    <w:rsid w:val="77C622B3"/>
    <w:rsid w:val="7A2937CC"/>
    <w:rsid w:val="7D452B7C"/>
    <w:rsid w:val="7ECA0A2C"/>
    <w:rsid w:val="7F102368"/>
    <w:rsid w:val="7F416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kern w:val="2"/>
      <w:sz w:val="18"/>
      <w:szCs w:val="18"/>
    </w:rPr>
  </w:style>
  <w:style w:type="character" w:customStyle="1" w:styleId="8">
    <w:name w:val="页脚 Char"/>
    <w:basedOn w:val="6"/>
    <w:link w:val="3"/>
    <w:qFormat/>
    <w:uiPriority w:val="99"/>
    <w:rPr>
      <w:kern w:val="2"/>
      <w:sz w:val="18"/>
      <w:szCs w:val="18"/>
    </w:rPr>
  </w:style>
  <w:style w:type="paragraph" w:styleId="9">
    <w:name w:val="List Paragraph"/>
    <w:basedOn w:val="1"/>
    <w:qFormat/>
    <w:uiPriority w:val="1"/>
    <w:pPr>
      <w:ind w:firstLine="420" w:firstLineChars="200"/>
    </w:pPr>
    <w:rPr>
      <w:rFonts w:ascii="Times New Roman" w:hAnsi="Times New Roman" w:eastAsia="宋体" w:cs="Times New Roman"/>
    </w:rPr>
  </w:style>
  <w:style w:type="character" w:customStyle="1" w:styleId="10">
    <w:name w:val="批注框文本 Char"/>
    <w:basedOn w:val="6"/>
    <w:link w:val="2"/>
    <w:qFormat/>
    <w:uiPriority w:val="0"/>
    <w:rPr>
      <w:kern w:val="2"/>
      <w:sz w:val="18"/>
      <w:szCs w:val="18"/>
    </w:rPr>
  </w:style>
  <w:style w:type="paragraph" w:customStyle="1" w:styleId="11">
    <w:name w:val="正文 + 宋体"/>
    <w:basedOn w:val="1"/>
    <w:qFormat/>
    <w:uiPriority w:val="0"/>
    <w:pPr>
      <w:ind w:left="838" w:leftChars="285" w:hanging="240" w:hangingChars="100"/>
    </w:pPr>
    <w:rPr>
      <w:rFonts w:ascii="Times New Roman" w:hAnsi="Times New Roman" w:eastAsia="宋体" w:cs="Times New Roman"/>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中国石油大学</Company>
  <Pages>3</Pages>
  <Words>2884</Words>
  <Characters>3180</Characters>
  <Lines>60</Lines>
  <Paragraphs>17</Paragraphs>
  <TotalTime>16</TotalTime>
  <ScaleCrop>false</ScaleCrop>
  <LinksUpToDate>false</LinksUpToDate>
  <CharactersWithSpaces>3230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2020-06-11T14:01:00Z</dcterms:created>
  <dc:creator>dn</dc:creator>
  <cp:lastModifiedBy>唐婷</cp:lastModifiedBy>
  <cp:lastPrinted>2022-05-13T05:55:00Z</cp:lastPrinted>
  <dcterms:modified xsi:type="dcterms:W3CDTF">2025-07-16T03:22:29Z</dcterms:modified>
  <cp:revision>233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eyJoZGlkIjoiZGY2OTFhZjUwYThlNTQ0OGFiMWYzOGRhODQ0OTkwYzAiLCJ1c2VySWQiOiI1NjAyMTc0MjIifQ==</vt:lpwstr>
  </property>
  <property fmtid="{D5CDD505-2E9C-101B-9397-08002B2CF9AE}" pid="4" name="ICV">
    <vt:lpwstr>CD927A34E993425E8121B88F3257FCF6_12</vt:lpwstr>
  </property>
</Properties>
</file>